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C" w:rsidRPr="00DA341C" w:rsidRDefault="00DA341C" w:rsidP="00DA341C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0" w:name="_Toc399836786"/>
      <w:bookmarkStart w:id="1" w:name="_Toc399836683"/>
      <w:r w:rsidRPr="00DA341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5.3.1 Have you ever used David Lamb's Prospect Research Page?</w:t>
      </w:r>
      <w:bookmarkEnd w:id="1"/>
      <w:r w:rsidRPr="00DA341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 xml:space="preserve"> </w:t>
      </w: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0"/>
        <w:gridCol w:w="2400"/>
        <w:gridCol w:w="2403"/>
        <w:gridCol w:w="2403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53,33%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46,67%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2" w:name="_Toc399836684"/>
      <w:r w:rsidRPr="00DA341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5.3.2 Have you ever used David Lamb's Prospect Research Page? Broken out by FTE Fundraisers</w:t>
      </w:r>
      <w:bookmarkEnd w:id="2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92"/>
        <w:gridCol w:w="3142"/>
        <w:gridCol w:w="3142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FTE Fundraisers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4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5 - 10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10 - 25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53,85%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46,15%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25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62,50%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37,50%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3" w:name="_Toc399836685"/>
      <w:r w:rsidRPr="00DA341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5.3.3 Have you ever used David Lamb's Prospect Research Page? Broken out by Type of Organization</w:t>
      </w:r>
      <w:bookmarkEnd w:id="3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316"/>
        <w:gridCol w:w="3130"/>
        <w:gridCol w:w="3130"/>
      </w:tblGrid>
      <w:tr w:rsidR="00DA341C" w:rsidRPr="00DA341C" w:rsidTr="00705EAC">
        <w:tc>
          <w:tcPr>
            <w:tcW w:w="3316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Type of Organization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3316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Library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</w:tr>
      <w:tr w:rsidR="00DA341C" w:rsidRPr="00DA341C" w:rsidTr="00705EAC">
        <w:tc>
          <w:tcPr>
            <w:tcW w:w="3316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College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48,28%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51,72%</w:t>
            </w:r>
          </w:p>
        </w:tc>
      </w:tr>
      <w:tr w:rsidR="00DA341C" w:rsidRPr="00DA341C" w:rsidTr="00705EAC">
        <w:tc>
          <w:tcPr>
            <w:tcW w:w="3316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Museum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</w:tr>
      <w:tr w:rsidR="00DA341C" w:rsidRPr="00DA341C" w:rsidTr="00705EAC">
        <w:tc>
          <w:tcPr>
            <w:tcW w:w="3316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Foundation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66,67%</w:t>
            </w:r>
          </w:p>
        </w:tc>
        <w:tc>
          <w:tcPr>
            <w:tcW w:w="3130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</w:pPr>
      <w:bookmarkStart w:id="4" w:name="_Toc399836686"/>
      <w:r w:rsidRPr="00DA341C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val="en-AU"/>
        </w:rPr>
        <w:t>Table 5.3.4 Have you ever used David Lamb's Prospect Research Page? Broken out by College or Other Non-Profit</w:t>
      </w:r>
      <w:bookmarkEnd w:id="4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90"/>
        <w:gridCol w:w="3143"/>
        <w:gridCol w:w="3143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College or Other Non-Profit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College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 College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46,67%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53,33%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Not an Educational Institution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66,67%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Default="00DA341C" w:rsidP="00DA341C">
      <w:pPr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br w:type="page"/>
      </w:r>
    </w:p>
    <w:p w:rsidR="00DA341C" w:rsidRPr="00DA341C" w:rsidRDefault="00DA341C" w:rsidP="00DA341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 xml:space="preserve">Table 14.1 </w:t>
      </w:r>
      <w:proofErr w:type="gramStart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Has</w:t>
      </w:r>
      <w:proofErr w:type="gramEnd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your organization paid for any formal training of any kind into researching wealthy donors likely to give to your organization or cause?</w:t>
      </w:r>
      <w:bookmarkEnd w:id="0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370"/>
        <w:gridCol w:w="2402"/>
        <w:gridCol w:w="2402"/>
        <w:gridCol w:w="2402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24,44%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46,67%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28,89%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5" w:name="_Toc399836787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14.2 </w:t>
      </w:r>
      <w:proofErr w:type="gramStart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Has</w:t>
      </w:r>
      <w:proofErr w:type="gramEnd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your organization paid for any formal training of any kind into researching wealthy donors likely to give to your organization or cause? Broken out by FTE Fundraisers</w:t>
      </w:r>
      <w:bookmarkEnd w:id="5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89"/>
        <w:gridCol w:w="2329"/>
        <w:gridCol w:w="2329"/>
        <w:gridCol w:w="2329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FTE Fundraisers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4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16,67%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5 - 10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41,67%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10 - 25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23,08%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46,15%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30,77%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25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75,00%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bookmarkStart w:id="6" w:name="_Toc399836788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Table 14.3 </w:t>
      </w:r>
      <w:proofErr w:type="gramStart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Has</w:t>
      </w:r>
      <w:proofErr w:type="gramEnd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your organization paid for any formal training of any kind into researching wealthy donors likely to give to your organization or cause? Broken out by Type of Organization</w:t>
      </w:r>
      <w:bookmarkEnd w:id="6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634"/>
        <w:gridCol w:w="2314"/>
        <w:gridCol w:w="2314"/>
        <w:gridCol w:w="2314"/>
      </w:tblGrid>
      <w:tr w:rsidR="00DA341C" w:rsidRPr="00DA341C" w:rsidTr="00705EAC">
        <w:tc>
          <w:tcPr>
            <w:tcW w:w="263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Type of Organization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263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Library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</w:tr>
      <w:tr w:rsidR="00DA341C" w:rsidRPr="00DA341C" w:rsidTr="00705EAC">
        <w:tc>
          <w:tcPr>
            <w:tcW w:w="263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College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24,14%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44,83%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31,03%</w:t>
            </w:r>
          </w:p>
        </w:tc>
      </w:tr>
      <w:tr w:rsidR="00DA341C" w:rsidRPr="00DA341C" w:rsidTr="00705EAC">
        <w:tc>
          <w:tcPr>
            <w:tcW w:w="263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Museum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60,00%</w:t>
            </w:r>
          </w:p>
        </w:tc>
      </w:tr>
      <w:tr w:rsidR="00DA341C" w:rsidRPr="00DA341C" w:rsidTr="00705EAC">
        <w:tc>
          <w:tcPr>
            <w:tcW w:w="263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Foundation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2314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16,67%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</w:pPr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br w:type="page"/>
      </w:r>
      <w:bookmarkStart w:id="7" w:name="_Toc399836789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lastRenderedPageBreak/>
        <w:t xml:space="preserve">Table 14.4 </w:t>
      </w:r>
      <w:proofErr w:type="gramStart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>Has</w:t>
      </w:r>
      <w:proofErr w:type="gramEnd"/>
      <w:r w:rsidRPr="00DA341C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/>
        </w:rPr>
        <w:t xml:space="preserve"> your organization paid for any formal training of any kind into researching wealthy donors likely to give to your organization or cause? Broken out by College or Other Non-Profit</w:t>
      </w:r>
      <w:bookmarkEnd w:id="7"/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83"/>
        <w:gridCol w:w="2331"/>
        <w:gridCol w:w="2331"/>
        <w:gridCol w:w="2331"/>
      </w:tblGrid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College or Other Non-Profit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 Answer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Yes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College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22,22%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55,56%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22,22%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 College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26,67%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33,33%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40,00%</w:t>
            </w:r>
          </w:p>
        </w:tc>
      </w:tr>
      <w:tr w:rsidR="00DA341C" w:rsidRPr="00DA341C" w:rsidTr="00705EAC"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Not an Educational Institution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50,00%</w:t>
            </w:r>
          </w:p>
        </w:tc>
        <w:tc>
          <w:tcPr>
            <w:tcW w:w="4258" w:type="dxa"/>
          </w:tcPr>
          <w:p w:rsidR="00DA341C" w:rsidRPr="00DA341C" w:rsidRDefault="00DA341C" w:rsidP="00DA341C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DA341C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25,00%</w:t>
            </w:r>
          </w:p>
        </w:tc>
      </w:tr>
    </w:tbl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A341C" w:rsidRPr="00DA341C" w:rsidRDefault="00DA341C" w:rsidP="00DA341C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D13FA5" w:rsidRPr="00D13FA5" w:rsidRDefault="00DA341C" w:rsidP="00D13FA5">
      <w:pPr>
        <w:pStyle w:val="Heading1"/>
        <w:rPr>
          <w:rFonts w:ascii="Calibri" w:eastAsia="Times New Roman" w:hAnsi="Calibri" w:cs="Times New Roman"/>
          <w:color w:val="345A8A"/>
          <w:sz w:val="32"/>
          <w:szCs w:val="32"/>
          <w:lang w:val="en-AU"/>
        </w:rPr>
      </w:pPr>
      <w:r w:rsidRPr="00DA341C">
        <w:rPr>
          <w:rFonts w:ascii="Cambria" w:eastAsia="Cambria" w:hAnsi="Cambria" w:cs="Times New Roman"/>
          <w:sz w:val="24"/>
          <w:szCs w:val="24"/>
          <w:lang w:val="en-AU"/>
        </w:rPr>
        <w:br w:type="page"/>
      </w:r>
      <w:bookmarkStart w:id="8" w:name="_Toc399836799"/>
      <w:r w:rsidR="00D13FA5" w:rsidRPr="00D13FA5">
        <w:rPr>
          <w:rFonts w:ascii="Calibri" w:eastAsia="Times New Roman" w:hAnsi="Calibri" w:cs="Times New Roman"/>
          <w:color w:val="345A8A"/>
          <w:sz w:val="32"/>
          <w:szCs w:val="32"/>
          <w:lang w:val="en-AU"/>
        </w:rPr>
        <w:lastRenderedPageBreak/>
        <w:t>W</w:t>
      </w:r>
      <w:bookmarkStart w:id="9" w:name="_GoBack"/>
      <w:bookmarkEnd w:id="9"/>
      <w:r w:rsidR="00D13FA5" w:rsidRPr="00D13FA5">
        <w:rPr>
          <w:rFonts w:ascii="Calibri" w:eastAsia="Times New Roman" w:hAnsi="Calibri" w:cs="Times New Roman"/>
          <w:color w:val="345A8A"/>
          <w:sz w:val="32"/>
          <w:szCs w:val="32"/>
          <w:lang w:val="en-AU"/>
        </w:rPr>
        <w:t>hat are your preferred means for researching trends in corporate philanthropy?</w:t>
      </w:r>
      <w:bookmarkEnd w:id="8"/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company websites, news articles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We have news alerts set up with several sources, and I also monitor philanthropic publications and social-media feeds on a daily basis.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u w:val="single"/>
          <w:lang w:val="en-AU"/>
        </w:rPr>
        <w:t>Hearsay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news sources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Most of our prospects are sole proprietors and this is unavailable information.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Area business journals and fund raising publications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News media alerts, business media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foundation directory.com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Newspaper databases, Imagine Canada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Foundation Directory, Chronicle of Philanthropy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Online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"Trends" mean little to me; of more value is the knowledge of exactly to whom grants are given, how much and for what purposes in the past 5 years of corporate giving. Each corporation should be researched on its own merits, not "trends".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Chronicle of Philanthropy, APRA, Listservs, Best Practice research conducted by WealthEngine and Blackbaud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Reading the annual CECP report.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Chronicle of Philanthropy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None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google alerts on corporate prospects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We don't do much in this area.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None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News items.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None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Not currently handled by the Research Dept.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Review of monthly giving; review of white papers and reports; direct research on specific industries4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 xml:space="preserve">Corporate Social Responsibility, mission and objectives of the company. University of Hertfordshire is a business facing University with strong link with local businesses, </w:t>
      </w:r>
      <w:proofErr w:type="spellStart"/>
      <w:proofErr w:type="gramStart"/>
      <w:r w:rsidRPr="00D13FA5">
        <w:rPr>
          <w:rFonts w:ascii="Cambria" w:eastAsia="Cambria" w:hAnsi="Cambria" w:cs="Times New Roman"/>
          <w:sz w:val="24"/>
          <w:szCs w:val="24"/>
          <w:lang w:val="en-AU"/>
        </w:rPr>
        <w:t>esp</w:t>
      </w:r>
      <w:proofErr w:type="spellEnd"/>
      <w:proofErr w:type="gramEnd"/>
      <w:r w:rsidRPr="00D13FA5">
        <w:rPr>
          <w:rFonts w:ascii="Cambria" w:eastAsia="Cambria" w:hAnsi="Cambria" w:cs="Times New Roman"/>
          <w:sz w:val="24"/>
          <w:szCs w:val="24"/>
          <w:lang w:val="en-AU"/>
        </w:rPr>
        <w:t xml:space="preserve"> Hatfield Business Park, Shire Park in Welwyn Garden City and other business parks around </w:t>
      </w:r>
      <w:proofErr w:type="spellStart"/>
      <w:r w:rsidRPr="00D13FA5">
        <w:rPr>
          <w:rFonts w:ascii="Cambria" w:eastAsia="Cambria" w:hAnsi="Cambria" w:cs="Times New Roman"/>
          <w:sz w:val="24"/>
          <w:szCs w:val="24"/>
          <w:lang w:val="en-AU"/>
        </w:rPr>
        <w:t>Herts</w:t>
      </w:r>
      <w:proofErr w:type="spellEnd"/>
      <w:r w:rsidRPr="00D13FA5">
        <w:rPr>
          <w:rFonts w:ascii="Cambria" w:eastAsia="Cambria" w:hAnsi="Cambria" w:cs="Times New Roman"/>
          <w:sz w:val="24"/>
          <w:szCs w:val="24"/>
          <w:lang w:val="en-AU"/>
        </w:rPr>
        <w:t xml:space="preserve"> and surrounding counties. We also have a team who specialise in enterprise/business development who work with  companies on a wide range of projects (e.g. KTP, consultancies, research projects, collaborations, social enterprise)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Corporate philanthropy is done by others at my institution.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Foundation Directory</w:t>
      </w:r>
    </w:p>
    <w:p w:rsidR="00D13FA5" w:rsidRPr="00D13FA5" w:rsidRDefault="00D13FA5" w:rsidP="00D13FA5">
      <w:pPr>
        <w:numPr>
          <w:ilvl w:val="0"/>
          <w:numId w:val="1"/>
        </w:numPr>
        <w:spacing w:after="0" w:line="240" w:lineRule="auto"/>
        <w:ind w:left="709" w:hanging="426"/>
        <w:rPr>
          <w:rFonts w:ascii="Cambria" w:eastAsia="Cambria" w:hAnsi="Cambria" w:cs="Times New Roman"/>
          <w:sz w:val="24"/>
          <w:szCs w:val="24"/>
          <w:lang w:val="en-AU"/>
        </w:rPr>
      </w:pPr>
      <w:r w:rsidRPr="00D13FA5">
        <w:rPr>
          <w:rFonts w:ascii="Cambria" w:eastAsia="Cambria" w:hAnsi="Cambria" w:cs="Times New Roman"/>
          <w:sz w:val="24"/>
          <w:szCs w:val="24"/>
          <w:lang w:val="en-AU"/>
        </w:rPr>
        <w:t>Combination of informal survey and reading Arts in Business reports.</w:t>
      </w:r>
    </w:p>
    <w:p w:rsidR="00D13FA5" w:rsidRPr="00D13FA5" w:rsidRDefault="00D13FA5" w:rsidP="00D13FA5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680991" w:rsidRDefault="00D13FA5" w:rsidP="00D13FA5">
      <w:r w:rsidRPr="00D13FA5">
        <w:rPr>
          <w:rFonts w:ascii="Cambria" w:eastAsia="Cambria" w:hAnsi="Cambria" w:cs="Times New Roman"/>
          <w:sz w:val="24"/>
          <w:szCs w:val="24"/>
          <w:lang w:val="en-AU"/>
        </w:rPr>
        <w:br w:type="page"/>
      </w:r>
    </w:p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4018"/>
    <w:multiLevelType w:val="hybridMultilevel"/>
    <w:tmpl w:val="1D943E16"/>
    <w:lvl w:ilvl="0" w:tplc="8570C35C">
      <w:start w:val="1"/>
      <w:numFmt w:val="decimal"/>
      <w:lvlText w:val="%1)"/>
      <w:lvlJc w:val="left"/>
      <w:pPr>
        <w:ind w:left="567" w:hanging="2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C"/>
    <w:rsid w:val="000076D1"/>
    <w:rsid w:val="00007AD9"/>
    <w:rsid w:val="00057A32"/>
    <w:rsid w:val="000C4FA0"/>
    <w:rsid w:val="001257A4"/>
    <w:rsid w:val="00141683"/>
    <w:rsid w:val="00142659"/>
    <w:rsid w:val="001E12A3"/>
    <w:rsid w:val="0020199B"/>
    <w:rsid w:val="002968D1"/>
    <w:rsid w:val="003D7555"/>
    <w:rsid w:val="004A1AEE"/>
    <w:rsid w:val="004D6C36"/>
    <w:rsid w:val="00516528"/>
    <w:rsid w:val="00517117"/>
    <w:rsid w:val="005427C0"/>
    <w:rsid w:val="00572B6F"/>
    <w:rsid w:val="0059143B"/>
    <w:rsid w:val="005C5DF8"/>
    <w:rsid w:val="0063126C"/>
    <w:rsid w:val="00646FA8"/>
    <w:rsid w:val="00680991"/>
    <w:rsid w:val="00680CC0"/>
    <w:rsid w:val="006A14BD"/>
    <w:rsid w:val="006C1ACA"/>
    <w:rsid w:val="006C6779"/>
    <w:rsid w:val="007B1447"/>
    <w:rsid w:val="007B4BDC"/>
    <w:rsid w:val="007C224D"/>
    <w:rsid w:val="007D4CB8"/>
    <w:rsid w:val="007E7267"/>
    <w:rsid w:val="007F3736"/>
    <w:rsid w:val="00812928"/>
    <w:rsid w:val="00830254"/>
    <w:rsid w:val="008808AD"/>
    <w:rsid w:val="009B4495"/>
    <w:rsid w:val="009D6147"/>
    <w:rsid w:val="009D6D7F"/>
    <w:rsid w:val="00A70B97"/>
    <w:rsid w:val="00A806D5"/>
    <w:rsid w:val="00AB2005"/>
    <w:rsid w:val="00AC5481"/>
    <w:rsid w:val="00AD1421"/>
    <w:rsid w:val="00AF0206"/>
    <w:rsid w:val="00B20A6B"/>
    <w:rsid w:val="00B370C7"/>
    <w:rsid w:val="00B57ED6"/>
    <w:rsid w:val="00B87475"/>
    <w:rsid w:val="00C21DB8"/>
    <w:rsid w:val="00C42496"/>
    <w:rsid w:val="00C84D15"/>
    <w:rsid w:val="00D13FA5"/>
    <w:rsid w:val="00D40950"/>
    <w:rsid w:val="00D40EFD"/>
    <w:rsid w:val="00D61CB7"/>
    <w:rsid w:val="00D80908"/>
    <w:rsid w:val="00DA341C"/>
    <w:rsid w:val="00E30748"/>
    <w:rsid w:val="00E30D9A"/>
    <w:rsid w:val="00E368F8"/>
    <w:rsid w:val="00E62D5B"/>
    <w:rsid w:val="00E6464D"/>
    <w:rsid w:val="00EE0615"/>
    <w:rsid w:val="00FC041F"/>
    <w:rsid w:val="00FC1F4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2</cp:revision>
  <dcterms:created xsi:type="dcterms:W3CDTF">2014-09-30T14:58:00Z</dcterms:created>
  <dcterms:modified xsi:type="dcterms:W3CDTF">2014-09-30T14:58:00Z</dcterms:modified>
</cp:coreProperties>
</file>