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bookmarkStart w:id="0" w:name="_Toc399140788"/>
      <w:bookmarkStart w:id="1" w:name="_Toc399140755"/>
      <w:r w:rsidRPr="00B9734D">
        <w:rPr>
          <w:rFonts w:ascii="Calibri" w:eastAsia="Times New Roman" w:hAnsi="Calibri" w:cs="Times New Roman"/>
          <w:b/>
          <w:bCs/>
          <w:color w:val="345A8A"/>
          <w:sz w:val="32"/>
          <w:szCs w:val="32"/>
          <w:lang w:val="en-AU" w:eastAsia="x-none"/>
        </w:rPr>
        <w:t xml:space="preserve">Table 19.1 </w:t>
      </w:r>
      <w:proofErr w:type="gramStart"/>
      <w:r w:rsidRPr="00B9734D">
        <w:rPr>
          <w:rFonts w:ascii="Calibri" w:eastAsia="Times New Roman" w:hAnsi="Calibri" w:cs="Times New Roman"/>
          <w:b/>
          <w:bCs/>
          <w:color w:val="345A8A"/>
          <w:sz w:val="32"/>
          <w:szCs w:val="32"/>
          <w:lang w:val="en-AU" w:eastAsia="x-none"/>
        </w:rPr>
        <w:t>Approximately</w:t>
      </w:r>
      <w:proofErr w:type="gramEnd"/>
      <w:r w:rsidRPr="00B9734D">
        <w:rPr>
          <w:rFonts w:ascii="Calibri" w:eastAsia="Times New Roman" w:hAnsi="Calibri" w:cs="Times New Roman"/>
          <w:b/>
          <w:bCs/>
          <w:color w:val="345A8A"/>
          <w:sz w:val="32"/>
          <w:szCs w:val="32"/>
          <w:lang w:val="en-AU" w:eastAsia="x-none"/>
        </w:rPr>
        <w:t xml:space="preserve"> how much annual staff time would you say is expended by your library (1 full time person spending all of their time would be about 1900 hours) in reviewing and paying invoices from database vendors?</w:t>
      </w:r>
      <w:bookmarkEnd w:id="1"/>
    </w:p>
    <w:p w:rsidR="00B9734D" w:rsidRPr="00B9734D" w:rsidRDefault="00B9734D" w:rsidP="00B9734D">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2"/>
        <w:gridCol w:w="1894"/>
        <w:gridCol w:w="1833"/>
        <w:gridCol w:w="2004"/>
        <w:gridCol w:w="2028"/>
      </w:tblGrid>
      <w:tr w:rsidR="00B9734D" w:rsidRPr="00B9734D" w:rsidTr="009D1660">
        <w:tc>
          <w:tcPr>
            <w:tcW w:w="1812" w:type="dxa"/>
          </w:tcPr>
          <w:p w:rsidR="00B9734D" w:rsidRPr="00B9734D" w:rsidRDefault="00B9734D" w:rsidP="00B9734D">
            <w:pPr>
              <w:spacing w:after="0" w:line="240" w:lineRule="auto"/>
              <w:rPr>
                <w:rFonts w:ascii="Cambria" w:eastAsia="Cambria" w:hAnsi="Cambria" w:cs="Times New Roman"/>
                <w:sz w:val="24"/>
                <w:szCs w:val="24"/>
                <w:lang w:val="en-AU"/>
              </w:rPr>
            </w:pPr>
          </w:p>
        </w:tc>
        <w:tc>
          <w:tcPr>
            <w:tcW w:w="189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Mean</w:t>
            </w:r>
          </w:p>
        </w:tc>
        <w:tc>
          <w:tcPr>
            <w:tcW w:w="183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Median</w:t>
            </w:r>
          </w:p>
        </w:tc>
        <w:tc>
          <w:tcPr>
            <w:tcW w:w="200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Minimum</w:t>
            </w:r>
          </w:p>
        </w:tc>
        <w:tc>
          <w:tcPr>
            <w:tcW w:w="202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Maximum</w:t>
            </w:r>
          </w:p>
        </w:tc>
      </w:tr>
      <w:tr w:rsidR="00B9734D" w:rsidRPr="00B9734D" w:rsidTr="009D1660">
        <w:tc>
          <w:tcPr>
            <w:tcW w:w="181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Entire sample</w:t>
            </w:r>
          </w:p>
        </w:tc>
        <w:tc>
          <w:tcPr>
            <w:tcW w:w="189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870,93</w:t>
            </w:r>
          </w:p>
        </w:tc>
        <w:tc>
          <w:tcPr>
            <w:tcW w:w="183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250,00</w:t>
            </w:r>
          </w:p>
        </w:tc>
        <w:tc>
          <w:tcPr>
            <w:tcW w:w="200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0,50</w:t>
            </w:r>
          </w:p>
        </w:tc>
        <w:tc>
          <w:tcPr>
            <w:tcW w:w="202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3800,00</w:t>
            </w:r>
          </w:p>
        </w:tc>
      </w:tr>
    </w:tbl>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bookmarkStart w:id="2" w:name="_Toc399140756"/>
      <w:r w:rsidRPr="00B9734D">
        <w:rPr>
          <w:rFonts w:ascii="Calibri" w:eastAsia="Times New Roman" w:hAnsi="Calibri" w:cs="Times New Roman"/>
          <w:b/>
          <w:bCs/>
          <w:color w:val="345A8A"/>
          <w:sz w:val="32"/>
          <w:szCs w:val="32"/>
          <w:lang w:val="en-AU" w:eastAsia="x-none"/>
        </w:rPr>
        <w:t xml:space="preserve">Table 19.2 </w:t>
      </w:r>
      <w:proofErr w:type="gramStart"/>
      <w:r w:rsidRPr="00B9734D">
        <w:rPr>
          <w:rFonts w:ascii="Calibri" w:eastAsia="Times New Roman" w:hAnsi="Calibri" w:cs="Times New Roman"/>
          <w:b/>
          <w:bCs/>
          <w:color w:val="345A8A"/>
          <w:sz w:val="32"/>
          <w:szCs w:val="32"/>
          <w:lang w:val="en-AU" w:eastAsia="x-none"/>
        </w:rPr>
        <w:t>Approximately</w:t>
      </w:r>
      <w:proofErr w:type="gramEnd"/>
      <w:r w:rsidRPr="00B9734D">
        <w:rPr>
          <w:rFonts w:ascii="Calibri" w:eastAsia="Times New Roman" w:hAnsi="Calibri" w:cs="Times New Roman"/>
          <w:b/>
          <w:bCs/>
          <w:color w:val="345A8A"/>
          <w:sz w:val="32"/>
          <w:szCs w:val="32"/>
          <w:lang w:val="en-AU" w:eastAsia="x-none"/>
        </w:rPr>
        <w:t xml:space="preserve"> how much annual staff time would you say is expended by your library (1 full time person spending all of their time would be about 1900 hours) in reviewing and paying invoices from database vendors? Broken out by Type of Organization</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72"/>
        <w:gridCol w:w="1802"/>
        <w:gridCol w:w="1739"/>
        <w:gridCol w:w="1916"/>
        <w:gridCol w:w="1942"/>
      </w:tblGrid>
      <w:tr w:rsidR="00B9734D" w:rsidRPr="00B9734D" w:rsidTr="009D1660">
        <w:tc>
          <w:tcPr>
            <w:tcW w:w="217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Type of Organization</w:t>
            </w:r>
          </w:p>
        </w:tc>
        <w:tc>
          <w:tcPr>
            <w:tcW w:w="180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Mean</w:t>
            </w:r>
          </w:p>
        </w:tc>
        <w:tc>
          <w:tcPr>
            <w:tcW w:w="173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Median</w:t>
            </w:r>
          </w:p>
        </w:tc>
        <w:tc>
          <w:tcPr>
            <w:tcW w:w="19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Minimum</w:t>
            </w:r>
          </w:p>
        </w:tc>
        <w:tc>
          <w:tcPr>
            <w:tcW w:w="194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Maximum</w:t>
            </w:r>
          </w:p>
        </w:tc>
      </w:tr>
      <w:tr w:rsidR="00B9734D" w:rsidRPr="00B9734D" w:rsidTr="009D1660">
        <w:tc>
          <w:tcPr>
            <w:tcW w:w="217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College or University Library</w:t>
            </w:r>
          </w:p>
        </w:tc>
        <w:tc>
          <w:tcPr>
            <w:tcW w:w="180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1463,24</w:t>
            </w:r>
          </w:p>
        </w:tc>
        <w:tc>
          <w:tcPr>
            <w:tcW w:w="173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800,00</w:t>
            </w:r>
          </w:p>
        </w:tc>
        <w:tc>
          <w:tcPr>
            <w:tcW w:w="19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75,00</w:t>
            </w:r>
          </w:p>
        </w:tc>
        <w:tc>
          <w:tcPr>
            <w:tcW w:w="194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3800,00</w:t>
            </w:r>
          </w:p>
        </w:tc>
      </w:tr>
      <w:tr w:rsidR="00B9734D" w:rsidRPr="00B9734D" w:rsidTr="009D1660">
        <w:tc>
          <w:tcPr>
            <w:tcW w:w="217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Public Library</w:t>
            </w:r>
          </w:p>
        </w:tc>
        <w:tc>
          <w:tcPr>
            <w:tcW w:w="180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190,00</w:t>
            </w:r>
          </w:p>
        </w:tc>
        <w:tc>
          <w:tcPr>
            <w:tcW w:w="173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190,00</w:t>
            </w:r>
          </w:p>
        </w:tc>
        <w:tc>
          <w:tcPr>
            <w:tcW w:w="19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190,00</w:t>
            </w:r>
          </w:p>
        </w:tc>
        <w:tc>
          <w:tcPr>
            <w:tcW w:w="194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190,00</w:t>
            </w:r>
          </w:p>
        </w:tc>
      </w:tr>
      <w:tr w:rsidR="00B9734D" w:rsidRPr="00B9734D" w:rsidTr="009D1660">
        <w:tc>
          <w:tcPr>
            <w:tcW w:w="217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Corporate Library</w:t>
            </w:r>
          </w:p>
        </w:tc>
        <w:tc>
          <w:tcPr>
            <w:tcW w:w="180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555,00</w:t>
            </w:r>
          </w:p>
        </w:tc>
        <w:tc>
          <w:tcPr>
            <w:tcW w:w="173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485,00</w:t>
            </w:r>
          </w:p>
        </w:tc>
        <w:tc>
          <w:tcPr>
            <w:tcW w:w="19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50,00</w:t>
            </w:r>
          </w:p>
        </w:tc>
        <w:tc>
          <w:tcPr>
            <w:tcW w:w="194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1200,00</w:t>
            </w:r>
          </w:p>
        </w:tc>
      </w:tr>
      <w:tr w:rsidR="00B9734D" w:rsidRPr="00B9734D" w:rsidTr="009D1660">
        <w:tc>
          <w:tcPr>
            <w:tcW w:w="217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Law Firm Library</w:t>
            </w:r>
          </w:p>
        </w:tc>
        <w:tc>
          <w:tcPr>
            <w:tcW w:w="180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340,67</w:t>
            </w:r>
          </w:p>
        </w:tc>
        <w:tc>
          <w:tcPr>
            <w:tcW w:w="173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72,00</w:t>
            </w:r>
          </w:p>
        </w:tc>
        <w:tc>
          <w:tcPr>
            <w:tcW w:w="19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50,00</w:t>
            </w:r>
          </w:p>
        </w:tc>
        <w:tc>
          <w:tcPr>
            <w:tcW w:w="194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900,00</w:t>
            </w:r>
          </w:p>
        </w:tc>
      </w:tr>
      <w:tr w:rsidR="00B9734D" w:rsidRPr="00B9734D" w:rsidTr="009D1660">
        <w:tc>
          <w:tcPr>
            <w:tcW w:w="217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Other</w:t>
            </w:r>
          </w:p>
        </w:tc>
        <w:tc>
          <w:tcPr>
            <w:tcW w:w="180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368,35</w:t>
            </w:r>
          </w:p>
        </w:tc>
        <w:tc>
          <w:tcPr>
            <w:tcW w:w="173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75,00</w:t>
            </w:r>
          </w:p>
        </w:tc>
        <w:tc>
          <w:tcPr>
            <w:tcW w:w="19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0,50</w:t>
            </w:r>
          </w:p>
        </w:tc>
        <w:tc>
          <w:tcPr>
            <w:tcW w:w="194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2100,00</w:t>
            </w:r>
          </w:p>
        </w:tc>
      </w:tr>
    </w:tbl>
    <w:p w:rsidR="00B9734D" w:rsidRPr="00B9734D" w:rsidRDefault="00B9734D" w:rsidP="00B9734D">
      <w:pPr>
        <w:spacing w:after="0" w:line="240" w:lineRule="auto"/>
        <w:rPr>
          <w:rFonts w:ascii="Cambria" w:eastAsia="Cambria" w:hAnsi="Cambria" w:cs="Times New Roman"/>
          <w:sz w:val="24"/>
          <w:szCs w:val="24"/>
          <w:lang w:val="en-AU"/>
        </w:rPr>
      </w:pPr>
    </w:p>
    <w:p w:rsidR="00B9734D" w:rsidRDefault="00B9734D">
      <w:pPr>
        <w:rPr>
          <w:rFonts w:ascii="Calibri" w:eastAsia="Times New Roman" w:hAnsi="Calibri" w:cs="Times New Roman"/>
          <w:b/>
          <w:bCs/>
          <w:color w:val="345A8A"/>
          <w:sz w:val="32"/>
          <w:szCs w:val="32"/>
          <w:lang w:val="en-AU" w:eastAsia="x-none"/>
        </w:rPr>
      </w:pPr>
      <w:bookmarkStart w:id="3" w:name="_Toc399140757"/>
      <w:r>
        <w:rPr>
          <w:rFonts w:ascii="Calibri" w:eastAsia="Times New Roman" w:hAnsi="Calibri" w:cs="Times New Roman"/>
          <w:b/>
          <w:bCs/>
          <w:color w:val="345A8A"/>
          <w:sz w:val="32"/>
          <w:szCs w:val="32"/>
          <w:lang w:val="en-AU" w:eastAsia="x-none"/>
        </w:rPr>
        <w:br w:type="page"/>
      </w:r>
    </w:p>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r w:rsidRPr="00B9734D">
        <w:rPr>
          <w:rFonts w:ascii="Calibri" w:eastAsia="Times New Roman" w:hAnsi="Calibri" w:cs="Times New Roman"/>
          <w:b/>
          <w:bCs/>
          <w:color w:val="345A8A"/>
          <w:sz w:val="32"/>
          <w:szCs w:val="32"/>
          <w:lang w:val="en-AU" w:eastAsia="x-none"/>
        </w:rPr>
        <w:lastRenderedPageBreak/>
        <w:t xml:space="preserve">Table 19.3 </w:t>
      </w:r>
      <w:proofErr w:type="gramStart"/>
      <w:r w:rsidRPr="00B9734D">
        <w:rPr>
          <w:rFonts w:ascii="Calibri" w:eastAsia="Times New Roman" w:hAnsi="Calibri" w:cs="Times New Roman"/>
          <w:b/>
          <w:bCs/>
          <w:color w:val="345A8A"/>
          <w:sz w:val="32"/>
          <w:szCs w:val="32"/>
          <w:lang w:val="en-AU" w:eastAsia="x-none"/>
        </w:rPr>
        <w:t>Approximately</w:t>
      </w:r>
      <w:proofErr w:type="gramEnd"/>
      <w:r w:rsidRPr="00B9734D">
        <w:rPr>
          <w:rFonts w:ascii="Calibri" w:eastAsia="Times New Roman" w:hAnsi="Calibri" w:cs="Times New Roman"/>
          <w:b/>
          <w:bCs/>
          <w:color w:val="345A8A"/>
          <w:sz w:val="32"/>
          <w:szCs w:val="32"/>
          <w:lang w:val="en-AU" w:eastAsia="x-none"/>
        </w:rPr>
        <w:t xml:space="preserve"> how much annual staff time would you say is expended by your library (1 full time person spending all of their time would be about 1900 hours) in reviewing and paying invoices from database vendors? Broken out by Level of Spending ($) for content licensed in electronic or joint electronic/print format in 2014</w:t>
      </w:r>
      <w:bookmarkEnd w:id="3"/>
    </w:p>
    <w:p w:rsidR="00B9734D" w:rsidRPr="00B9734D" w:rsidRDefault="00B9734D" w:rsidP="00B9734D">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82"/>
        <w:gridCol w:w="1749"/>
        <w:gridCol w:w="1684"/>
        <w:gridCol w:w="1865"/>
        <w:gridCol w:w="1891"/>
      </w:tblGrid>
      <w:tr w:rsidR="00B9734D" w:rsidRPr="00B9734D" w:rsidTr="009D1660">
        <w:tc>
          <w:tcPr>
            <w:tcW w:w="238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Level of Spending ($) for content  licensed in electronic or joint electronic/print format in 2014</w:t>
            </w:r>
          </w:p>
        </w:tc>
        <w:tc>
          <w:tcPr>
            <w:tcW w:w="174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Mean</w:t>
            </w:r>
          </w:p>
        </w:tc>
        <w:tc>
          <w:tcPr>
            <w:tcW w:w="168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Median</w:t>
            </w:r>
          </w:p>
        </w:tc>
        <w:tc>
          <w:tcPr>
            <w:tcW w:w="186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Minimum</w:t>
            </w:r>
          </w:p>
        </w:tc>
        <w:tc>
          <w:tcPr>
            <w:tcW w:w="18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Maximum</w:t>
            </w:r>
          </w:p>
        </w:tc>
      </w:tr>
      <w:tr w:rsidR="00B9734D" w:rsidRPr="00B9734D" w:rsidTr="009D1660">
        <w:tc>
          <w:tcPr>
            <w:tcW w:w="238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Less than 100.000</w:t>
            </w:r>
          </w:p>
        </w:tc>
        <w:tc>
          <w:tcPr>
            <w:tcW w:w="174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470,83</w:t>
            </w:r>
          </w:p>
        </w:tc>
        <w:tc>
          <w:tcPr>
            <w:tcW w:w="168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150,00</w:t>
            </w:r>
          </w:p>
        </w:tc>
        <w:tc>
          <w:tcPr>
            <w:tcW w:w="186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5,00</w:t>
            </w:r>
          </w:p>
        </w:tc>
        <w:tc>
          <w:tcPr>
            <w:tcW w:w="18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2100,00</w:t>
            </w:r>
          </w:p>
        </w:tc>
      </w:tr>
      <w:tr w:rsidR="00B9734D" w:rsidRPr="00B9734D" w:rsidTr="009D1660">
        <w:tc>
          <w:tcPr>
            <w:tcW w:w="238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100.000 to 300.000</w:t>
            </w:r>
          </w:p>
        </w:tc>
        <w:tc>
          <w:tcPr>
            <w:tcW w:w="174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387,83</w:t>
            </w:r>
          </w:p>
        </w:tc>
        <w:tc>
          <w:tcPr>
            <w:tcW w:w="168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200,00</w:t>
            </w:r>
          </w:p>
        </w:tc>
        <w:tc>
          <w:tcPr>
            <w:tcW w:w="186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0,50</w:t>
            </w:r>
          </w:p>
        </w:tc>
        <w:tc>
          <w:tcPr>
            <w:tcW w:w="18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1000,00</w:t>
            </w:r>
          </w:p>
        </w:tc>
      </w:tr>
      <w:tr w:rsidR="00B9734D" w:rsidRPr="00B9734D" w:rsidTr="009D1660">
        <w:tc>
          <w:tcPr>
            <w:tcW w:w="238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300.000 to 1.000.000</w:t>
            </w:r>
          </w:p>
        </w:tc>
        <w:tc>
          <w:tcPr>
            <w:tcW w:w="174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1126,38</w:t>
            </w:r>
          </w:p>
        </w:tc>
        <w:tc>
          <w:tcPr>
            <w:tcW w:w="168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600,00</w:t>
            </w:r>
          </w:p>
        </w:tc>
        <w:tc>
          <w:tcPr>
            <w:tcW w:w="186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8,00</w:t>
            </w:r>
          </w:p>
        </w:tc>
        <w:tc>
          <w:tcPr>
            <w:tcW w:w="18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3800,00</w:t>
            </w:r>
          </w:p>
        </w:tc>
      </w:tr>
      <w:tr w:rsidR="00B9734D" w:rsidRPr="00B9734D" w:rsidTr="009D1660">
        <w:tc>
          <w:tcPr>
            <w:tcW w:w="2382"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More than 1.000.000</w:t>
            </w:r>
          </w:p>
        </w:tc>
        <w:tc>
          <w:tcPr>
            <w:tcW w:w="174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1213,70</w:t>
            </w:r>
          </w:p>
        </w:tc>
        <w:tc>
          <w:tcPr>
            <w:tcW w:w="168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450,00</w:t>
            </w:r>
          </w:p>
        </w:tc>
        <w:tc>
          <w:tcPr>
            <w:tcW w:w="186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40,00</w:t>
            </w:r>
          </w:p>
        </w:tc>
        <w:tc>
          <w:tcPr>
            <w:tcW w:w="18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3800,00</w:t>
            </w:r>
          </w:p>
        </w:tc>
      </w:tr>
    </w:tbl>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bookmarkStart w:id="4" w:name="_Toc399140758"/>
      <w:r w:rsidRPr="00B9734D">
        <w:rPr>
          <w:rFonts w:ascii="Calibri" w:eastAsia="Times New Roman" w:hAnsi="Calibri" w:cs="Times New Roman"/>
          <w:b/>
          <w:bCs/>
          <w:color w:val="345A8A"/>
          <w:sz w:val="32"/>
          <w:szCs w:val="32"/>
          <w:lang w:val="en-AU" w:eastAsia="x-none"/>
        </w:rPr>
        <w:t xml:space="preserve">Table 19.4 </w:t>
      </w:r>
      <w:proofErr w:type="gramStart"/>
      <w:r w:rsidRPr="00B9734D">
        <w:rPr>
          <w:rFonts w:ascii="Calibri" w:eastAsia="Times New Roman" w:hAnsi="Calibri" w:cs="Times New Roman"/>
          <w:b/>
          <w:bCs/>
          <w:color w:val="345A8A"/>
          <w:sz w:val="32"/>
          <w:szCs w:val="32"/>
          <w:lang w:val="en-AU" w:eastAsia="x-none"/>
        </w:rPr>
        <w:t>Approximately</w:t>
      </w:r>
      <w:proofErr w:type="gramEnd"/>
      <w:r w:rsidRPr="00B9734D">
        <w:rPr>
          <w:rFonts w:ascii="Calibri" w:eastAsia="Times New Roman" w:hAnsi="Calibri" w:cs="Times New Roman"/>
          <w:b/>
          <w:bCs/>
          <w:color w:val="345A8A"/>
          <w:sz w:val="32"/>
          <w:szCs w:val="32"/>
          <w:lang w:val="en-AU" w:eastAsia="x-none"/>
        </w:rPr>
        <w:t xml:space="preserve"> how much annual staff time would you say is expended by your library (1 full time person spending all of their time would be about 1900 hours) in reviewing and paying invoices from database vendors? Broken out for the USA and Rest of World</w:t>
      </w:r>
      <w:bookmarkEnd w:id="4"/>
    </w:p>
    <w:p w:rsidR="00B9734D" w:rsidRPr="00B9734D" w:rsidRDefault="00B9734D" w:rsidP="00B9734D">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33"/>
        <w:gridCol w:w="1940"/>
        <w:gridCol w:w="1880"/>
        <w:gridCol w:w="2047"/>
        <w:gridCol w:w="2071"/>
      </w:tblGrid>
      <w:tr w:rsidR="00B9734D" w:rsidRPr="00B9734D" w:rsidTr="009D1660">
        <w:tc>
          <w:tcPr>
            <w:tcW w:w="163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USA and Rest of World</w:t>
            </w:r>
          </w:p>
        </w:tc>
        <w:tc>
          <w:tcPr>
            <w:tcW w:w="194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Mean</w:t>
            </w:r>
          </w:p>
        </w:tc>
        <w:tc>
          <w:tcPr>
            <w:tcW w:w="188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Median</w:t>
            </w:r>
          </w:p>
        </w:tc>
        <w:tc>
          <w:tcPr>
            <w:tcW w:w="204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Minimum</w:t>
            </w:r>
          </w:p>
        </w:tc>
        <w:tc>
          <w:tcPr>
            <w:tcW w:w="207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Maximum</w:t>
            </w:r>
          </w:p>
        </w:tc>
      </w:tr>
      <w:tr w:rsidR="00B9734D" w:rsidRPr="00B9734D" w:rsidTr="009D1660">
        <w:tc>
          <w:tcPr>
            <w:tcW w:w="163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USA</w:t>
            </w:r>
          </w:p>
        </w:tc>
        <w:tc>
          <w:tcPr>
            <w:tcW w:w="194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867,95</w:t>
            </w:r>
          </w:p>
        </w:tc>
        <w:tc>
          <w:tcPr>
            <w:tcW w:w="188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200,00</w:t>
            </w:r>
          </w:p>
        </w:tc>
        <w:tc>
          <w:tcPr>
            <w:tcW w:w="204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8,00</w:t>
            </w:r>
          </w:p>
        </w:tc>
        <w:tc>
          <w:tcPr>
            <w:tcW w:w="207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3800,00</w:t>
            </w:r>
          </w:p>
        </w:tc>
      </w:tr>
      <w:tr w:rsidR="00B9734D" w:rsidRPr="00B9734D" w:rsidTr="009D1660">
        <w:tc>
          <w:tcPr>
            <w:tcW w:w="163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Rest of World</w:t>
            </w:r>
          </w:p>
        </w:tc>
        <w:tc>
          <w:tcPr>
            <w:tcW w:w="194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875,03</w:t>
            </w:r>
          </w:p>
        </w:tc>
        <w:tc>
          <w:tcPr>
            <w:tcW w:w="188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450,00</w:t>
            </w:r>
          </w:p>
        </w:tc>
        <w:tc>
          <w:tcPr>
            <w:tcW w:w="204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0,50</w:t>
            </w:r>
          </w:p>
        </w:tc>
        <w:tc>
          <w:tcPr>
            <w:tcW w:w="207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3800,00</w:t>
            </w:r>
          </w:p>
        </w:tc>
      </w:tr>
    </w:tbl>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spacing w:after="0" w:line="240" w:lineRule="auto"/>
        <w:rPr>
          <w:rFonts w:ascii="Cambria" w:eastAsia="Cambria" w:hAnsi="Cambria" w:cs="Times New Roman"/>
          <w:sz w:val="24"/>
          <w:szCs w:val="24"/>
          <w:lang w:val="en-AU"/>
        </w:rPr>
      </w:pPr>
    </w:p>
    <w:p w:rsid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r w:rsidRPr="00B9734D">
        <w:rPr>
          <w:rFonts w:ascii="Cambria" w:eastAsia="Cambria" w:hAnsi="Cambria" w:cs="Times New Roman"/>
          <w:sz w:val="24"/>
          <w:szCs w:val="24"/>
          <w:lang w:val="en-AU"/>
        </w:rPr>
        <w:br w:type="page"/>
      </w:r>
    </w:p>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bookmarkStart w:id="5" w:name="_GoBack"/>
      <w:bookmarkEnd w:id="5"/>
      <w:r w:rsidRPr="00B9734D">
        <w:rPr>
          <w:rFonts w:ascii="Calibri" w:eastAsia="Times New Roman" w:hAnsi="Calibri" w:cs="Times New Roman"/>
          <w:b/>
          <w:bCs/>
          <w:color w:val="345A8A"/>
          <w:sz w:val="32"/>
          <w:szCs w:val="32"/>
          <w:lang w:val="en-AU" w:eastAsia="x-none"/>
        </w:rPr>
        <w:lastRenderedPageBreak/>
        <w:t>Table 23.1 How successful have you been in negotiating reductions in database licensing prices when usage statistics show declining use?</w:t>
      </w:r>
      <w:bookmarkEnd w:id="0"/>
    </w:p>
    <w:p w:rsidR="00B9734D" w:rsidRPr="00B9734D" w:rsidRDefault="00B9734D" w:rsidP="00B9734D">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104"/>
        <w:gridCol w:w="1160"/>
        <w:gridCol w:w="1395"/>
        <w:gridCol w:w="1649"/>
        <w:gridCol w:w="1600"/>
        <w:gridCol w:w="1395"/>
        <w:gridCol w:w="1273"/>
      </w:tblGrid>
      <w:tr w:rsidR="00B9734D" w:rsidRPr="00B9734D" w:rsidTr="009D1660">
        <w:tc>
          <w:tcPr>
            <w:tcW w:w="115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 xml:space="preserve"> </w:t>
            </w:r>
          </w:p>
        </w:tc>
        <w:tc>
          <w:tcPr>
            <w:tcW w:w="121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No Answer</w:t>
            </w:r>
          </w:p>
        </w:tc>
        <w:tc>
          <w:tcPr>
            <w:tcW w:w="144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Not at all successful</w:t>
            </w:r>
          </w:p>
        </w:tc>
        <w:tc>
          <w:tcPr>
            <w:tcW w:w="16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Generally unsuccessful</w:t>
            </w:r>
          </w:p>
        </w:tc>
        <w:tc>
          <w:tcPr>
            <w:tcW w:w="164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Successful occasionally</w:t>
            </w:r>
          </w:p>
        </w:tc>
        <w:tc>
          <w:tcPr>
            <w:tcW w:w="144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Often successful</w:t>
            </w:r>
          </w:p>
        </w:tc>
        <w:tc>
          <w:tcPr>
            <w:tcW w:w="967" w:type="dxa"/>
          </w:tcPr>
          <w:p w:rsidR="00B9734D" w:rsidRPr="00B9734D" w:rsidRDefault="00B9734D" w:rsidP="00B9734D">
            <w:pPr>
              <w:spacing w:after="0" w:line="240" w:lineRule="auto"/>
              <w:rPr>
                <w:rFonts w:ascii="Cambria" w:eastAsia="Cambria" w:hAnsi="Cambria" w:cs="Courier New"/>
                <w:sz w:val="24"/>
                <w:szCs w:val="24"/>
              </w:rPr>
            </w:pPr>
            <w:r w:rsidRPr="00B9734D">
              <w:rPr>
                <w:rFonts w:ascii="Cambria" w:eastAsia="Cambria" w:hAnsi="Cambria" w:cs="Courier New"/>
                <w:sz w:val="24"/>
                <w:szCs w:val="24"/>
              </w:rPr>
              <w:t>Usually Successful</w:t>
            </w:r>
          </w:p>
        </w:tc>
      </w:tr>
      <w:tr w:rsidR="00B9734D" w:rsidRPr="00B9734D" w:rsidTr="009D1660">
        <w:tc>
          <w:tcPr>
            <w:tcW w:w="1159"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Entire sample</w:t>
            </w:r>
          </w:p>
        </w:tc>
        <w:tc>
          <w:tcPr>
            <w:tcW w:w="121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19,61%</w:t>
            </w:r>
          </w:p>
        </w:tc>
        <w:tc>
          <w:tcPr>
            <w:tcW w:w="144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17,65%</w:t>
            </w:r>
          </w:p>
        </w:tc>
        <w:tc>
          <w:tcPr>
            <w:tcW w:w="16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27,45%</w:t>
            </w:r>
          </w:p>
        </w:tc>
        <w:tc>
          <w:tcPr>
            <w:tcW w:w="164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29,41%</w:t>
            </w:r>
          </w:p>
        </w:tc>
        <w:tc>
          <w:tcPr>
            <w:tcW w:w="144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5,88%</w:t>
            </w:r>
          </w:p>
        </w:tc>
        <w:tc>
          <w:tcPr>
            <w:tcW w:w="96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bl>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bookmarkStart w:id="6" w:name="_Toc399140789"/>
      <w:r w:rsidRPr="00B9734D">
        <w:rPr>
          <w:rFonts w:ascii="Calibri" w:eastAsia="Times New Roman" w:hAnsi="Calibri" w:cs="Times New Roman"/>
          <w:b/>
          <w:bCs/>
          <w:color w:val="345A8A"/>
          <w:sz w:val="32"/>
          <w:szCs w:val="32"/>
          <w:lang w:val="en-AU" w:eastAsia="x-none"/>
        </w:rPr>
        <w:t>Table 23.2 How successful have you been in negotiating reductions in database licensing prices when usage statistics show declining use? Broken out by Type of Organization</w:t>
      </w:r>
      <w:bookmarkEnd w:id="6"/>
    </w:p>
    <w:p w:rsidR="00B9734D" w:rsidRPr="00B9734D" w:rsidRDefault="00B9734D" w:rsidP="00B9734D">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06"/>
        <w:gridCol w:w="1087"/>
        <w:gridCol w:w="1295"/>
        <w:gridCol w:w="1538"/>
        <w:gridCol w:w="1477"/>
        <w:gridCol w:w="1295"/>
        <w:gridCol w:w="1273"/>
      </w:tblGrid>
      <w:tr w:rsidR="00B9734D" w:rsidRPr="00B9734D" w:rsidTr="009D1660">
        <w:tc>
          <w:tcPr>
            <w:tcW w:w="160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Type of Organization</w:t>
            </w:r>
          </w:p>
        </w:tc>
        <w:tc>
          <w:tcPr>
            <w:tcW w:w="108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No Answer</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Not at all successful</w:t>
            </w:r>
          </w:p>
        </w:tc>
        <w:tc>
          <w:tcPr>
            <w:tcW w:w="153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Generally unsuccessful</w:t>
            </w:r>
          </w:p>
        </w:tc>
        <w:tc>
          <w:tcPr>
            <w:tcW w:w="147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Successful occasionally</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Often successful</w:t>
            </w:r>
          </w:p>
        </w:tc>
        <w:tc>
          <w:tcPr>
            <w:tcW w:w="1273" w:type="dxa"/>
          </w:tcPr>
          <w:p w:rsidR="00B9734D" w:rsidRPr="00B9734D" w:rsidRDefault="00B9734D" w:rsidP="00B9734D">
            <w:pPr>
              <w:spacing w:after="0" w:line="240" w:lineRule="auto"/>
              <w:rPr>
                <w:rFonts w:ascii="Cambria" w:eastAsia="Cambria" w:hAnsi="Cambria" w:cs="Courier New"/>
                <w:sz w:val="24"/>
                <w:szCs w:val="24"/>
              </w:rPr>
            </w:pPr>
            <w:r w:rsidRPr="00B9734D">
              <w:rPr>
                <w:rFonts w:ascii="Cambria" w:eastAsia="Cambria" w:hAnsi="Cambria" w:cs="Courier New"/>
                <w:sz w:val="24"/>
                <w:szCs w:val="24"/>
              </w:rPr>
              <w:t>Usually Successful</w:t>
            </w:r>
          </w:p>
        </w:tc>
      </w:tr>
      <w:tr w:rsidR="00B9734D" w:rsidRPr="00B9734D" w:rsidTr="009D1660">
        <w:tc>
          <w:tcPr>
            <w:tcW w:w="160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College or University Library</w:t>
            </w:r>
          </w:p>
        </w:tc>
        <w:tc>
          <w:tcPr>
            <w:tcW w:w="108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12,50%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20,83%</w:t>
            </w:r>
          </w:p>
        </w:tc>
        <w:tc>
          <w:tcPr>
            <w:tcW w:w="153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20,83%</w:t>
            </w:r>
          </w:p>
        </w:tc>
        <w:tc>
          <w:tcPr>
            <w:tcW w:w="147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37,50%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8,33%</w:t>
            </w:r>
          </w:p>
        </w:tc>
        <w:tc>
          <w:tcPr>
            <w:tcW w:w="127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60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Public Library</w:t>
            </w:r>
          </w:p>
        </w:tc>
        <w:tc>
          <w:tcPr>
            <w:tcW w:w="108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53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100,00%</w:t>
            </w:r>
          </w:p>
        </w:tc>
        <w:tc>
          <w:tcPr>
            <w:tcW w:w="147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7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60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Corporate Library</w:t>
            </w:r>
          </w:p>
        </w:tc>
        <w:tc>
          <w:tcPr>
            <w:tcW w:w="108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w:t>
            </w:r>
          </w:p>
        </w:tc>
        <w:tc>
          <w:tcPr>
            <w:tcW w:w="153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w:t>
            </w:r>
          </w:p>
        </w:tc>
        <w:tc>
          <w:tcPr>
            <w:tcW w:w="147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40,00%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7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60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Law Firm Library</w:t>
            </w:r>
          </w:p>
        </w:tc>
        <w:tc>
          <w:tcPr>
            <w:tcW w:w="108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w:t>
            </w:r>
          </w:p>
        </w:tc>
        <w:tc>
          <w:tcPr>
            <w:tcW w:w="153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40,00%</w:t>
            </w:r>
          </w:p>
        </w:tc>
        <w:tc>
          <w:tcPr>
            <w:tcW w:w="147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w:t>
            </w:r>
          </w:p>
        </w:tc>
        <w:tc>
          <w:tcPr>
            <w:tcW w:w="127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60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Other</w:t>
            </w:r>
          </w:p>
        </w:tc>
        <w:tc>
          <w:tcPr>
            <w:tcW w:w="108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31,25%</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12,50%</w:t>
            </w:r>
          </w:p>
        </w:tc>
        <w:tc>
          <w:tcPr>
            <w:tcW w:w="153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31,25%</w:t>
            </w:r>
          </w:p>
        </w:tc>
        <w:tc>
          <w:tcPr>
            <w:tcW w:w="147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25,00%</w:t>
            </w:r>
          </w:p>
        </w:tc>
        <w:tc>
          <w:tcPr>
            <w:tcW w:w="1295"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7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bl>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r w:rsidRPr="00B9734D">
        <w:rPr>
          <w:rFonts w:ascii="Calibri" w:eastAsia="Times New Roman" w:hAnsi="Calibri" w:cs="Times New Roman"/>
          <w:b/>
          <w:bCs/>
          <w:color w:val="345A8A"/>
          <w:sz w:val="32"/>
          <w:szCs w:val="32"/>
          <w:lang w:val="en-AU" w:eastAsia="x-none"/>
        </w:rPr>
        <w:br w:type="page"/>
      </w:r>
      <w:bookmarkStart w:id="7" w:name="_Toc399140790"/>
      <w:r w:rsidRPr="00B9734D">
        <w:rPr>
          <w:rFonts w:ascii="Calibri" w:eastAsia="Times New Roman" w:hAnsi="Calibri" w:cs="Times New Roman"/>
          <w:b/>
          <w:bCs/>
          <w:color w:val="345A8A"/>
          <w:sz w:val="32"/>
          <w:szCs w:val="32"/>
          <w:lang w:val="en-AU" w:eastAsia="x-none"/>
        </w:rPr>
        <w:lastRenderedPageBreak/>
        <w:t>Table 23.3 How successful have you been in negotiating reductions in database licensing prices when usage statistics show declining use? Broken out by Level of Spending ($) for content licensed in electronic or joint electronic/print format in 2014</w:t>
      </w:r>
      <w:bookmarkEnd w:id="7"/>
    </w:p>
    <w:p w:rsidR="00B9734D" w:rsidRPr="00B9734D" w:rsidRDefault="00B9734D" w:rsidP="00B9734D">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668"/>
        <w:gridCol w:w="1016"/>
        <w:gridCol w:w="1260"/>
        <w:gridCol w:w="1526"/>
        <w:gridCol w:w="1483"/>
        <w:gridCol w:w="1300"/>
        <w:gridCol w:w="1318"/>
      </w:tblGrid>
      <w:tr w:rsidR="00B9734D" w:rsidRPr="00B9734D" w:rsidTr="009D1660">
        <w:tc>
          <w:tcPr>
            <w:tcW w:w="166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Level of Spending ($) for content  licensed in electronic or joint electronic/print format in 2014</w:t>
            </w:r>
          </w:p>
        </w:tc>
        <w:tc>
          <w:tcPr>
            <w:tcW w:w="10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No Answer</w:t>
            </w:r>
          </w:p>
        </w:tc>
        <w:tc>
          <w:tcPr>
            <w:tcW w:w="126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Not at all successful</w:t>
            </w:r>
          </w:p>
        </w:tc>
        <w:tc>
          <w:tcPr>
            <w:tcW w:w="152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Generally unsuccessful</w:t>
            </w:r>
          </w:p>
        </w:tc>
        <w:tc>
          <w:tcPr>
            <w:tcW w:w="148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Successful occasionally</w:t>
            </w:r>
          </w:p>
        </w:tc>
        <w:tc>
          <w:tcPr>
            <w:tcW w:w="130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Often successful</w:t>
            </w:r>
          </w:p>
        </w:tc>
        <w:tc>
          <w:tcPr>
            <w:tcW w:w="1318" w:type="dxa"/>
          </w:tcPr>
          <w:p w:rsidR="00B9734D" w:rsidRPr="00B9734D" w:rsidRDefault="00B9734D" w:rsidP="00B9734D">
            <w:pPr>
              <w:spacing w:after="0" w:line="240" w:lineRule="auto"/>
              <w:rPr>
                <w:rFonts w:ascii="Cambria" w:eastAsia="Cambria" w:hAnsi="Cambria" w:cs="Courier New"/>
                <w:sz w:val="24"/>
                <w:szCs w:val="24"/>
              </w:rPr>
            </w:pPr>
            <w:r w:rsidRPr="00B9734D">
              <w:rPr>
                <w:rFonts w:ascii="Cambria" w:eastAsia="Cambria" w:hAnsi="Cambria" w:cs="Courier New"/>
                <w:sz w:val="24"/>
                <w:szCs w:val="24"/>
              </w:rPr>
              <w:t>Usually Successful</w:t>
            </w:r>
          </w:p>
        </w:tc>
      </w:tr>
      <w:tr w:rsidR="00B9734D" w:rsidRPr="00B9734D" w:rsidTr="009D1660">
        <w:tc>
          <w:tcPr>
            <w:tcW w:w="166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Less than 100.000</w:t>
            </w:r>
          </w:p>
        </w:tc>
        <w:tc>
          <w:tcPr>
            <w:tcW w:w="10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36,36%</w:t>
            </w:r>
          </w:p>
        </w:tc>
        <w:tc>
          <w:tcPr>
            <w:tcW w:w="126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27,27%</w:t>
            </w:r>
          </w:p>
        </w:tc>
        <w:tc>
          <w:tcPr>
            <w:tcW w:w="152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9,09%</w:t>
            </w:r>
          </w:p>
        </w:tc>
        <w:tc>
          <w:tcPr>
            <w:tcW w:w="148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18,18%</w:t>
            </w:r>
          </w:p>
        </w:tc>
        <w:tc>
          <w:tcPr>
            <w:tcW w:w="130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9,09%</w:t>
            </w:r>
          </w:p>
        </w:tc>
        <w:tc>
          <w:tcPr>
            <w:tcW w:w="131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66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100.000 to 300.000</w:t>
            </w:r>
          </w:p>
        </w:tc>
        <w:tc>
          <w:tcPr>
            <w:tcW w:w="10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27,27%</w:t>
            </w:r>
          </w:p>
        </w:tc>
        <w:tc>
          <w:tcPr>
            <w:tcW w:w="126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9,09%</w:t>
            </w:r>
          </w:p>
        </w:tc>
        <w:tc>
          <w:tcPr>
            <w:tcW w:w="152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27,27%</w:t>
            </w:r>
          </w:p>
        </w:tc>
        <w:tc>
          <w:tcPr>
            <w:tcW w:w="148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36,36%</w:t>
            </w:r>
          </w:p>
        </w:tc>
        <w:tc>
          <w:tcPr>
            <w:tcW w:w="130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31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66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300.000 to 1.000.000</w:t>
            </w:r>
          </w:p>
        </w:tc>
        <w:tc>
          <w:tcPr>
            <w:tcW w:w="10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17,65%</w:t>
            </w:r>
          </w:p>
        </w:tc>
        <w:tc>
          <w:tcPr>
            <w:tcW w:w="126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11,76%</w:t>
            </w:r>
          </w:p>
        </w:tc>
        <w:tc>
          <w:tcPr>
            <w:tcW w:w="152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41,18%</w:t>
            </w:r>
          </w:p>
        </w:tc>
        <w:tc>
          <w:tcPr>
            <w:tcW w:w="148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29,41%</w:t>
            </w:r>
          </w:p>
        </w:tc>
        <w:tc>
          <w:tcPr>
            <w:tcW w:w="130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31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66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More than 1.000.000</w:t>
            </w:r>
          </w:p>
        </w:tc>
        <w:tc>
          <w:tcPr>
            <w:tcW w:w="101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6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25,00%</w:t>
            </w:r>
          </w:p>
        </w:tc>
        <w:tc>
          <w:tcPr>
            <w:tcW w:w="1526"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25,00%</w:t>
            </w:r>
          </w:p>
        </w:tc>
        <w:tc>
          <w:tcPr>
            <w:tcW w:w="148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33,33%</w:t>
            </w:r>
          </w:p>
        </w:tc>
        <w:tc>
          <w:tcPr>
            <w:tcW w:w="130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16,67%</w:t>
            </w:r>
          </w:p>
        </w:tc>
        <w:tc>
          <w:tcPr>
            <w:tcW w:w="1318"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bl>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keepNext/>
        <w:keepLines/>
        <w:spacing w:before="480" w:after="0" w:line="240" w:lineRule="auto"/>
        <w:outlineLvl w:val="0"/>
        <w:rPr>
          <w:rFonts w:ascii="Calibri" w:eastAsia="Times New Roman" w:hAnsi="Calibri" w:cs="Times New Roman"/>
          <w:b/>
          <w:bCs/>
          <w:color w:val="345A8A"/>
          <w:sz w:val="32"/>
          <w:szCs w:val="32"/>
          <w:lang w:val="en-AU" w:eastAsia="x-none"/>
        </w:rPr>
      </w:pPr>
      <w:bookmarkStart w:id="8" w:name="_Toc399140791"/>
      <w:r w:rsidRPr="00B9734D">
        <w:rPr>
          <w:rFonts w:ascii="Calibri" w:eastAsia="Times New Roman" w:hAnsi="Calibri" w:cs="Times New Roman"/>
          <w:b/>
          <w:bCs/>
          <w:color w:val="345A8A"/>
          <w:sz w:val="32"/>
          <w:szCs w:val="32"/>
          <w:lang w:val="en-AU" w:eastAsia="x-none"/>
        </w:rPr>
        <w:t>Table 23.4 How successful have you been in negotiating reductions in database licensing prices when usage statistics show declining use? Broken out for the USA and Rest of World</w:t>
      </w:r>
      <w:bookmarkEnd w:id="8"/>
    </w:p>
    <w:p w:rsidR="00B9734D" w:rsidRPr="00B9734D" w:rsidRDefault="00B9734D" w:rsidP="00B9734D">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53"/>
        <w:gridCol w:w="1180"/>
        <w:gridCol w:w="1453"/>
        <w:gridCol w:w="1591"/>
        <w:gridCol w:w="1564"/>
        <w:gridCol w:w="1257"/>
        <w:gridCol w:w="1273"/>
      </w:tblGrid>
      <w:tr w:rsidR="00B9734D" w:rsidRPr="00B9734D" w:rsidTr="009D1660">
        <w:tc>
          <w:tcPr>
            <w:tcW w:w="125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USA and Rest of World</w:t>
            </w:r>
          </w:p>
        </w:tc>
        <w:tc>
          <w:tcPr>
            <w:tcW w:w="118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No Answer</w:t>
            </w:r>
          </w:p>
        </w:tc>
        <w:tc>
          <w:tcPr>
            <w:tcW w:w="145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Not at all successful</w:t>
            </w:r>
          </w:p>
        </w:tc>
        <w:tc>
          <w:tcPr>
            <w:tcW w:w="15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Generally unsuccessful</w:t>
            </w:r>
          </w:p>
        </w:tc>
        <w:tc>
          <w:tcPr>
            <w:tcW w:w="156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Successful occasionally</w:t>
            </w:r>
          </w:p>
        </w:tc>
        <w:tc>
          <w:tcPr>
            <w:tcW w:w="125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Courier New"/>
                <w:sz w:val="24"/>
                <w:szCs w:val="24"/>
              </w:rPr>
              <w:t>Often successful</w:t>
            </w:r>
          </w:p>
        </w:tc>
        <w:tc>
          <w:tcPr>
            <w:tcW w:w="1273" w:type="dxa"/>
          </w:tcPr>
          <w:p w:rsidR="00B9734D" w:rsidRPr="00B9734D" w:rsidRDefault="00B9734D" w:rsidP="00B9734D">
            <w:pPr>
              <w:spacing w:after="0" w:line="240" w:lineRule="auto"/>
              <w:rPr>
                <w:rFonts w:ascii="Cambria" w:eastAsia="Cambria" w:hAnsi="Cambria" w:cs="Courier New"/>
                <w:sz w:val="24"/>
                <w:szCs w:val="24"/>
              </w:rPr>
            </w:pPr>
            <w:r w:rsidRPr="00B9734D">
              <w:rPr>
                <w:rFonts w:ascii="Cambria" w:eastAsia="Cambria" w:hAnsi="Cambria" w:cs="Courier New"/>
                <w:sz w:val="24"/>
                <w:szCs w:val="24"/>
              </w:rPr>
              <w:t>Usually Successful</w:t>
            </w:r>
          </w:p>
        </w:tc>
      </w:tr>
      <w:tr w:rsidR="00B9734D" w:rsidRPr="00B9734D" w:rsidTr="009D1660">
        <w:tc>
          <w:tcPr>
            <w:tcW w:w="125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USA</w:t>
            </w:r>
          </w:p>
        </w:tc>
        <w:tc>
          <w:tcPr>
            <w:tcW w:w="118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16,13%</w:t>
            </w:r>
          </w:p>
        </w:tc>
        <w:tc>
          <w:tcPr>
            <w:tcW w:w="145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19,35%</w:t>
            </w:r>
          </w:p>
        </w:tc>
        <w:tc>
          <w:tcPr>
            <w:tcW w:w="15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32,26%</w:t>
            </w:r>
          </w:p>
        </w:tc>
        <w:tc>
          <w:tcPr>
            <w:tcW w:w="156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22,58%</w:t>
            </w:r>
          </w:p>
        </w:tc>
        <w:tc>
          <w:tcPr>
            <w:tcW w:w="125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9,68%</w:t>
            </w:r>
          </w:p>
        </w:tc>
        <w:tc>
          <w:tcPr>
            <w:tcW w:w="127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r w:rsidR="00B9734D" w:rsidRPr="00B9734D" w:rsidTr="009D1660">
        <w:tc>
          <w:tcPr>
            <w:tcW w:w="125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Rest of World</w:t>
            </w:r>
          </w:p>
        </w:tc>
        <w:tc>
          <w:tcPr>
            <w:tcW w:w="1180"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25,00%</w:t>
            </w:r>
          </w:p>
        </w:tc>
        <w:tc>
          <w:tcPr>
            <w:tcW w:w="145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15,00%</w:t>
            </w:r>
          </w:p>
        </w:tc>
        <w:tc>
          <w:tcPr>
            <w:tcW w:w="1591"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20,00%</w:t>
            </w:r>
          </w:p>
        </w:tc>
        <w:tc>
          <w:tcPr>
            <w:tcW w:w="1564"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40,00%</w:t>
            </w:r>
          </w:p>
        </w:tc>
        <w:tc>
          <w:tcPr>
            <w:tcW w:w="1257"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c>
          <w:tcPr>
            <w:tcW w:w="1273" w:type="dxa"/>
          </w:tcPr>
          <w:p w:rsidR="00B9734D" w:rsidRPr="00B9734D" w:rsidRDefault="00B9734D" w:rsidP="00B9734D">
            <w:pPr>
              <w:spacing w:after="0" w:line="240" w:lineRule="auto"/>
              <w:rPr>
                <w:rFonts w:ascii="Cambria" w:eastAsia="Cambria" w:hAnsi="Cambria" w:cs="Times New Roman"/>
                <w:sz w:val="24"/>
                <w:szCs w:val="24"/>
                <w:lang w:val="en-AU"/>
              </w:rPr>
            </w:pPr>
            <w:r w:rsidRPr="00B9734D">
              <w:rPr>
                <w:rFonts w:ascii="Cambria" w:eastAsia="Cambria" w:hAnsi="Cambria" w:cs="Times New Roman"/>
                <w:sz w:val="24"/>
                <w:szCs w:val="24"/>
                <w:lang w:val="en-AU"/>
              </w:rPr>
              <w:t>0.00%</w:t>
            </w:r>
          </w:p>
        </w:tc>
      </w:tr>
    </w:tbl>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spacing w:after="0" w:line="240" w:lineRule="auto"/>
        <w:rPr>
          <w:rFonts w:ascii="Cambria" w:eastAsia="Cambria" w:hAnsi="Cambria" w:cs="Times New Roman"/>
          <w:sz w:val="24"/>
          <w:szCs w:val="24"/>
          <w:lang w:val="en-AU"/>
        </w:rPr>
      </w:pPr>
    </w:p>
    <w:p w:rsidR="00B9734D" w:rsidRPr="00B9734D" w:rsidRDefault="00B9734D" w:rsidP="00B9734D">
      <w:pPr>
        <w:pStyle w:val="Heading1"/>
        <w:rPr>
          <w:rFonts w:ascii="Calibri" w:eastAsia="Times New Roman" w:hAnsi="Calibri" w:cs="Times New Roman"/>
          <w:color w:val="345A8A"/>
          <w:sz w:val="32"/>
          <w:szCs w:val="32"/>
          <w:lang w:val="en-AU" w:eastAsia="x-none"/>
        </w:rPr>
      </w:pPr>
      <w:r w:rsidRPr="00B9734D">
        <w:rPr>
          <w:rFonts w:ascii="Cambria" w:eastAsia="Cambria" w:hAnsi="Cambria" w:cs="Times New Roman"/>
          <w:sz w:val="24"/>
          <w:szCs w:val="24"/>
          <w:lang w:val="en-AU"/>
        </w:rPr>
        <w:br w:type="page"/>
      </w:r>
      <w:bookmarkStart w:id="9" w:name="_Toc399140813"/>
      <w:r w:rsidRPr="00B9734D">
        <w:rPr>
          <w:rFonts w:ascii="Calibri" w:eastAsia="Times New Roman" w:hAnsi="Calibri" w:cs="Times New Roman"/>
          <w:color w:val="345A8A"/>
          <w:sz w:val="32"/>
          <w:szCs w:val="32"/>
          <w:lang w:val="en-AU" w:eastAsia="x-none"/>
        </w:rPr>
        <w:lastRenderedPageBreak/>
        <w:t>Has patron use of the iPad and other tablet computers had any impact on the use of electronic resources at your library? If so what has been the impact and what do you expect in the near future?</w:t>
      </w:r>
      <w:bookmarkEnd w:id="9"/>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not really</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Yes; for licensing purposes.  Not a big impact.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Moderate impact may increase in future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None really, they can access most things they use</w:t>
      </w:r>
      <w:proofErr w:type="gramStart"/>
      <w:r w:rsidRPr="00B9734D">
        <w:rPr>
          <w:rFonts w:ascii="Cambria" w:eastAsia="Cambria" w:hAnsi="Cambria" w:cs="Times New Roman"/>
          <w:sz w:val="24"/>
          <w:szCs w:val="24"/>
        </w:rPr>
        <w:t>..</w:t>
      </w:r>
      <w:proofErr w:type="gramEnd"/>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We don't see a lot of iPads or other tablets. We see more iPhones.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Increased demand for content availability on multiple platforms.  Increased cost for individual titles that must be purchased in multiple formats.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We expect to be able to reduce the number of PCs offered for research purposes in the library over the next few years.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Increased demand for eBooks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Yes, our students are using iPads almost exclusively.  Database providers who do not provide apps that can track usage will fall to the bottom when we are deciding what to renew.</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Yes, the impact has compelled us to institute privacy policies for BYOD and other mobile devices.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 xml:space="preserve">Yes.  Several of our programs give students iPads, and many students use their own iPad, tablet, or smart phone.  Thus, operability on these platforms has become a larger consideration for us when we are evaluating electronic resources to purchase or subscribe to.  This is even </w:t>
      </w:r>
      <w:proofErr w:type="gramStart"/>
      <w:r w:rsidRPr="00B9734D">
        <w:rPr>
          <w:rFonts w:ascii="Cambria" w:eastAsia="Cambria" w:hAnsi="Cambria" w:cs="Times New Roman"/>
          <w:sz w:val="24"/>
          <w:szCs w:val="24"/>
        </w:rPr>
        <w:t>more true</w:t>
      </w:r>
      <w:proofErr w:type="gramEnd"/>
      <w:r w:rsidRPr="00B9734D">
        <w:rPr>
          <w:rFonts w:ascii="Cambria" w:eastAsia="Cambria" w:hAnsi="Cambria" w:cs="Times New Roman"/>
          <w:sz w:val="24"/>
          <w:szCs w:val="24"/>
        </w:rPr>
        <w:t xml:space="preserve"> in the health sciences as these are our programs of most rapid growth.</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We have noticed our students are not iPad users. They'll use their phone, laptop or our PC's. If they do use a tablet, much of our content is friendly.</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 xml:space="preserve">Yes, very much so. We always ask vendors now about the mobile capability of their product, ease of access, ease of setup (without requiring special u/p), ease of downloading. Also, </w:t>
      </w:r>
      <w:proofErr w:type="gramStart"/>
      <w:r w:rsidRPr="00B9734D">
        <w:rPr>
          <w:rFonts w:ascii="Cambria" w:eastAsia="Cambria" w:hAnsi="Cambria" w:cs="Times New Roman"/>
          <w:sz w:val="24"/>
          <w:szCs w:val="24"/>
        </w:rPr>
        <w:t>staff have</w:t>
      </w:r>
      <w:proofErr w:type="gramEnd"/>
      <w:r w:rsidRPr="00B9734D">
        <w:rPr>
          <w:rFonts w:ascii="Cambria" w:eastAsia="Cambria" w:hAnsi="Cambria" w:cs="Times New Roman"/>
          <w:sz w:val="24"/>
          <w:szCs w:val="24"/>
        </w:rPr>
        <w:t xml:space="preserve"> had to learn how to access products on mobile devices. Library has had to develop instructional material re apps etc.</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We have had to develop instructions for accessing products on mobile devices. We have had to learn about them ourselves (devices and apps). We now ask vendors specific questions about access via mobile device: ease of set-up, ease of access, downloading, etc.</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Yes, I would say higher use by mobile devices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Pr>
          <w:rFonts w:ascii="Cambria" w:eastAsia="Cambria" w:hAnsi="Cambria" w:cs="Times New Roman"/>
          <w:sz w:val="24"/>
          <w:szCs w:val="24"/>
        </w:rPr>
        <w:t>as we do not have WIFI</w:t>
      </w:r>
      <w:r w:rsidRPr="00B9734D">
        <w:rPr>
          <w:rFonts w:ascii="Cambria" w:eastAsia="Cambria" w:hAnsi="Cambria" w:cs="Times New Roman"/>
          <w:sz w:val="24"/>
          <w:szCs w:val="24"/>
        </w:rPr>
        <w:t>, there has been little affect, other than patrons trying to use the IPads or IPhones to take pictures of pages, rather than make copies.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As a newer institution we always had substantial digital holdings and IP access to all patrons.  Due to this the shift to mobile devices has not significantly impacted the use of these resources.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lastRenderedPageBreak/>
        <w:t>Accessing treatises on iPad during trials is more frequent.    I expect the need to print from an iPad/tablet to be of a concern in the next year or two.  Currently we work around this issue.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The people with tablet computers want to make sure that they have access to and can access the electronic resources we subscribe to.</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Small but slowly growing impact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Yes.  Big impact.  Mobile accessibility informs all our purchasing decisions.</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Increased demand for WIFI in all areas. Increased demand for offline use.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N/K</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we have not seen any impact, usage remains the same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 impact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 impact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 data available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a slight increase can be detected; it will further grow in the near future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Students do have tablets and expect to be able to use them; however the biggest impact has been in publishers</w:t>
      </w:r>
      <w:r>
        <w:rPr>
          <w:rFonts w:ascii="Cambria" w:eastAsia="Cambria" w:hAnsi="Cambria" w:cs="Times New Roman"/>
          <w:sz w:val="24"/>
          <w:szCs w:val="24"/>
        </w:rPr>
        <w:t>’</w:t>
      </w:r>
      <w:r w:rsidRPr="00B9734D">
        <w:rPr>
          <w:rFonts w:ascii="Cambria" w:eastAsia="Cambria" w:hAnsi="Cambria" w:cs="Times New Roman"/>
          <w:sz w:val="24"/>
          <w:szCs w:val="24"/>
        </w:rPr>
        <w:t xml:space="preserve"> only making e-versions available for iPad which restricts how we can purchase these resources and make them available.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Yes, all our medical students are issued a laptop and an iPad</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Not sure about the impact on use as our clients have always used e-format extensively but it has had impact on some of the queries on access problems that we handle</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use has increased somewhat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We don't have any statistics about this use at the moment.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We have not experience much mobile use, probably because many of our students cannot afford them.</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I now make sure all resources can work across devices and browsers. Ideally, that is written into contract.</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 Organizational security policies currently do not allow mobile device use</w:t>
      </w:r>
    </w:p>
    <w:p w:rsidR="00B9734D" w:rsidRPr="00B9734D" w:rsidRDefault="00B9734D" w:rsidP="00B9734D">
      <w:pPr>
        <w:numPr>
          <w:ilvl w:val="0"/>
          <w:numId w:val="1"/>
        </w:numPr>
        <w:spacing w:after="0" w:line="240" w:lineRule="auto"/>
        <w:rPr>
          <w:rFonts w:ascii="Cambria" w:eastAsia="Cambria" w:hAnsi="Cambria" w:cs="Times New Roman"/>
          <w:sz w:val="24"/>
          <w:szCs w:val="24"/>
        </w:rPr>
      </w:pPr>
      <w:proofErr w:type="spellStart"/>
      <w:r w:rsidRPr="00B9734D">
        <w:rPr>
          <w:rFonts w:ascii="Cambria" w:eastAsia="Cambria" w:hAnsi="Cambria" w:cs="Times New Roman"/>
          <w:sz w:val="24"/>
          <w:szCs w:val="24"/>
        </w:rPr>
        <w:t>na</w:t>
      </w:r>
      <w:proofErr w:type="spellEnd"/>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Not particularly.  The majority of databases can be accessed through tablet browsers, allowing access just fine.  There has not been a large call for app-specific functionality.</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It has not thus far; we do expect to start loaning tablet computers this coming academic year, so their compatibility with database products will be a feature we track.</w:t>
      </w:r>
    </w:p>
    <w:p w:rsidR="00B9734D" w:rsidRPr="00B9734D" w:rsidRDefault="00B9734D" w:rsidP="00B9734D">
      <w:pPr>
        <w:numPr>
          <w:ilvl w:val="0"/>
          <w:numId w:val="1"/>
        </w:numPr>
        <w:spacing w:after="0" w:line="240" w:lineRule="auto"/>
        <w:rPr>
          <w:rFonts w:ascii="Cambria" w:eastAsia="Cambria" w:hAnsi="Cambria" w:cs="Times New Roman"/>
          <w:sz w:val="24"/>
          <w:szCs w:val="24"/>
        </w:rPr>
      </w:pPr>
      <w:r w:rsidRPr="00B9734D">
        <w:rPr>
          <w:rFonts w:ascii="Cambria" w:eastAsia="Cambria" w:hAnsi="Cambria" w:cs="Times New Roman"/>
          <w:sz w:val="24"/>
          <w:szCs w:val="24"/>
        </w:rPr>
        <w:t>Yes  More requests for use with eBooks</w:t>
      </w:r>
    </w:p>
    <w:p w:rsidR="00B9734D" w:rsidRPr="00B9734D" w:rsidRDefault="00B9734D" w:rsidP="00B9734D">
      <w:pPr>
        <w:spacing w:after="0" w:line="240" w:lineRule="auto"/>
        <w:rPr>
          <w:rFonts w:ascii="Cambria" w:eastAsia="Cambria" w:hAnsi="Cambria" w:cs="Times New Roman"/>
          <w:sz w:val="24"/>
          <w:szCs w:val="24"/>
        </w:rPr>
      </w:pPr>
    </w:p>
    <w:p w:rsidR="00B9734D" w:rsidRPr="00B9734D" w:rsidRDefault="00B9734D" w:rsidP="00B9734D">
      <w:pPr>
        <w:spacing w:after="0" w:line="240" w:lineRule="auto"/>
        <w:rPr>
          <w:rFonts w:ascii="Cambria" w:eastAsia="Cambria" w:hAnsi="Cambria" w:cs="Times New Roman"/>
          <w:sz w:val="24"/>
          <w:szCs w:val="24"/>
        </w:rPr>
      </w:pPr>
    </w:p>
    <w:p w:rsidR="00680991" w:rsidRDefault="00680991" w:rsidP="00B9734D"/>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7CDB"/>
    <w:multiLevelType w:val="hybridMultilevel"/>
    <w:tmpl w:val="6278286A"/>
    <w:lvl w:ilvl="0" w:tplc="99B05E50">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4D"/>
    <w:rsid w:val="000076D1"/>
    <w:rsid w:val="00007AD9"/>
    <w:rsid w:val="00057A32"/>
    <w:rsid w:val="000C4FA0"/>
    <w:rsid w:val="001257A4"/>
    <w:rsid w:val="00141683"/>
    <w:rsid w:val="00142659"/>
    <w:rsid w:val="001E12A3"/>
    <w:rsid w:val="0020199B"/>
    <w:rsid w:val="002968D1"/>
    <w:rsid w:val="003D7555"/>
    <w:rsid w:val="004A1AEE"/>
    <w:rsid w:val="004D6C36"/>
    <w:rsid w:val="00516528"/>
    <w:rsid w:val="00517117"/>
    <w:rsid w:val="005427C0"/>
    <w:rsid w:val="00572B6F"/>
    <w:rsid w:val="0059143B"/>
    <w:rsid w:val="005C5DF8"/>
    <w:rsid w:val="0063126C"/>
    <w:rsid w:val="00646FA8"/>
    <w:rsid w:val="00680991"/>
    <w:rsid w:val="00680CC0"/>
    <w:rsid w:val="006A14BD"/>
    <w:rsid w:val="006C1ACA"/>
    <w:rsid w:val="006C6779"/>
    <w:rsid w:val="007B1447"/>
    <w:rsid w:val="007B4BDC"/>
    <w:rsid w:val="007C224D"/>
    <w:rsid w:val="007D4CB8"/>
    <w:rsid w:val="007E7267"/>
    <w:rsid w:val="007F3736"/>
    <w:rsid w:val="00812928"/>
    <w:rsid w:val="00830254"/>
    <w:rsid w:val="008808AD"/>
    <w:rsid w:val="009B4495"/>
    <w:rsid w:val="009D6147"/>
    <w:rsid w:val="009D6D7F"/>
    <w:rsid w:val="00A70B97"/>
    <w:rsid w:val="00A806D5"/>
    <w:rsid w:val="00AB2005"/>
    <w:rsid w:val="00AC5481"/>
    <w:rsid w:val="00AD1421"/>
    <w:rsid w:val="00AF0206"/>
    <w:rsid w:val="00B20A6B"/>
    <w:rsid w:val="00B370C7"/>
    <w:rsid w:val="00B57ED6"/>
    <w:rsid w:val="00B87475"/>
    <w:rsid w:val="00B9734D"/>
    <w:rsid w:val="00C21DB8"/>
    <w:rsid w:val="00C42496"/>
    <w:rsid w:val="00C84D15"/>
    <w:rsid w:val="00D40950"/>
    <w:rsid w:val="00D40EFD"/>
    <w:rsid w:val="00D61CB7"/>
    <w:rsid w:val="00D80908"/>
    <w:rsid w:val="00E30748"/>
    <w:rsid w:val="00E30D9A"/>
    <w:rsid w:val="00E368F8"/>
    <w:rsid w:val="00E62D5B"/>
    <w:rsid w:val="00E6464D"/>
    <w:rsid w:val="00EE0615"/>
    <w:rsid w:val="00FC041F"/>
    <w:rsid w:val="00FC1F43"/>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3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3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1</cp:revision>
  <dcterms:created xsi:type="dcterms:W3CDTF">2014-09-24T15:40:00Z</dcterms:created>
  <dcterms:modified xsi:type="dcterms:W3CDTF">2014-09-24T15:44:00Z</dcterms:modified>
</cp:coreProperties>
</file>